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5B" w:rsidRPr="005F484C" w:rsidRDefault="0076773F" w:rsidP="005F484C">
      <w:pPr>
        <w:pStyle w:val="Rubrik1"/>
      </w:pPr>
      <w:r>
        <w:t xml:space="preserve">ANTECKNINGAR </w:t>
      </w:r>
      <w:r w:rsidR="005F484C">
        <w:t>OM</w:t>
      </w:r>
      <w:r w:rsidR="005B3EC5">
        <w:t xml:space="preserve"> </w:t>
      </w:r>
      <w:r>
        <w:t xml:space="preserve">FARLIGT </w:t>
      </w:r>
      <w:r w:rsidR="00A73379">
        <w:t xml:space="preserve">AVFALL FÖR AVFALLSPRODUCENTER </w:t>
      </w:r>
      <w:r w:rsidR="00F91358">
        <w:t>- Exempel</w:t>
      </w:r>
      <w:r w:rsidR="005F484C">
        <w:br/>
      </w:r>
      <w:r w:rsidR="00962988" w:rsidRPr="00A33D5B">
        <w:rPr>
          <w:rFonts w:ascii="Arial" w:hAnsi="Arial" w:cs="Arial"/>
          <w:sz w:val="20"/>
          <w:szCs w:val="20"/>
        </w:rPr>
        <w:t>A</w:t>
      </w:r>
      <w:r w:rsidR="00962988">
        <w:rPr>
          <w:rFonts w:ascii="Arial" w:hAnsi="Arial" w:cs="Arial"/>
          <w:sz w:val="20"/>
          <w:szCs w:val="20"/>
        </w:rPr>
        <w:t xml:space="preserve">vfallsproducent = </w:t>
      </w:r>
      <w:r w:rsidR="00962988" w:rsidRPr="00962988">
        <w:rPr>
          <w:rFonts w:ascii="Arial" w:hAnsi="Arial" w:cs="Arial"/>
          <w:sz w:val="20"/>
          <w:szCs w:val="20"/>
        </w:rPr>
        <w:t>verksamhet där farligt avfall uppstår</w:t>
      </w:r>
      <w:r w:rsidRPr="0076773F">
        <w:rPr>
          <w:rFonts w:ascii="Arial" w:hAnsi="Arial" w:cs="Arial"/>
          <w:color w:val="000000"/>
          <w:sz w:val="20"/>
          <w:szCs w:val="20"/>
        </w:rPr>
        <w:t>   </w:t>
      </w:r>
    </w:p>
    <w:p w:rsidR="0076773F" w:rsidRPr="0076773F" w:rsidRDefault="0076773F" w:rsidP="0076773F">
      <w:pPr>
        <w:pStyle w:val="Normalweb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B0113">
        <w:rPr>
          <w:rFonts w:ascii="Arial" w:hAnsi="Arial" w:cs="Arial"/>
          <w:color w:val="000000"/>
          <w:sz w:val="16"/>
          <w:szCs w:val="16"/>
        </w:rPr>
        <w:t>Den som producerar farligt avfall i eller i samband med en yrkesmässig verksamhet ska för varje typ av farligt avfall anteckna uppgifter om</w:t>
      </w:r>
      <w:r w:rsidRPr="007B0113">
        <w:rPr>
          <w:rFonts w:ascii="Arial" w:hAnsi="Arial" w:cs="Arial"/>
          <w:color w:val="000000"/>
          <w:sz w:val="16"/>
          <w:szCs w:val="16"/>
        </w:rPr>
        <w:br/>
        <w:t>   1. var avfallet producerats</w:t>
      </w:r>
      <w:r w:rsidR="00946DB9" w:rsidRPr="007B0113">
        <w:rPr>
          <w:rFonts w:ascii="Arial" w:hAnsi="Arial" w:cs="Arial"/>
          <w:color w:val="000000"/>
          <w:sz w:val="16"/>
          <w:szCs w:val="16"/>
        </w:rPr>
        <w:t>/uppstått,</w:t>
      </w:r>
      <w:r w:rsidRPr="007B0113">
        <w:rPr>
          <w:rFonts w:ascii="Arial" w:hAnsi="Arial" w:cs="Arial"/>
          <w:color w:val="000000"/>
          <w:sz w:val="16"/>
          <w:szCs w:val="16"/>
        </w:rPr>
        <w:br/>
        <w:t>   2. datum för borttransport,</w:t>
      </w:r>
      <w:r w:rsidRPr="007B0113">
        <w:rPr>
          <w:rFonts w:ascii="Arial" w:hAnsi="Arial" w:cs="Arial"/>
          <w:color w:val="000000"/>
          <w:sz w:val="16"/>
          <w:szCs w:val="16"/>
        </w:rPr>
        <w:br/>
        <w:t>   3. transportsätt,</w:t>
      </w:r>
      <w:r w:rsidRPr="007B0113">
        <w:rPr>
          <w:rFonts w:ascii="Arial" w:hAnsi="Arial" w:cs="Arial"/>
          <w:color w:val="000000"/>
          <w:sz w:val="16"/>
          <w:szCs w:val="16"/>
        </w:rPr>
        <w:br/>
        <w:t>   4. vem som ska transportera bort avfallet,</w:t>
      </w:r>
      <w:r w:rsidRPr="007B0113">
        <w:rPr>
          <w:rFonts w:ascii="Arial" w:hAnsi="Arial" w:cs="Arial"/>
          <w:color w:val="000000"/>
          <w:sz w:val="16"/>
          <w:szCs w:val="16"/>
        </w:rPr>
        <w:br/>
        <w:t>   5. avfallets vikt i kilogram, och</w:t>
      </w:r>
      <w:r w:rsidRPr="007B0113">
        <w:rPr>
          <w:rFonts w:ascii="Arial" w:hAnsi="Arial" w:cs="Arial"/>
          <w:color w:val="000000"/>
          <w:sz w:val="16"/>
          <w:szCs w:val="16"/>
        </w:rPr>
        <w:br/>
        <w:t>   6. den mottagare och den plats där avfallet ska hanteras på annat sätt än genom att mottagaren transporterar eller lastar om</w:t>
      </w:r>
      <w:r w:rsidRPr="0076773F">
        <w:rPr>
          <w:rFonts w:ascii="Arial" w:hAnsi="Arial" w:cs="Arial"/>
          <w:color w:val="000000"/>
          <w:sz w:val="20"/>
          <w:szCs w:val="20"/>
        </w:rPr>
        <w:t xml:space="preserve"> det.</w:t>
      </w:r>
    </w:p>
    <w:p w:rsidR="007B0113" w:rsidRDefault="00A67DE3" w:rsidP="0076773F">
      <w:pPr>
        <w:pStyle w:val="Normalwebb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7B0113">
        <w:rPr>
          <w:rFonts w:ascii="Arial" w:hAnsi="Arial" w:cs="Arial"/>
          <w:color w:val="000000"/>
          <w:sz w:val="16"/>
          <w:szCs w:val="16"/>
        </w:rPr>
        <w:t>Anteckningarna ska sparas i minst tre år</w:t>
      </w:r>
      <w:r w:rsidRPr="007B0113">
        <w:rPr>
          <w:rFonts w:ascii="Arial" w:hAnsi="Arial" w:cs="Arial"/>
          <w:color w:val="000000"/>
          <w:sz w:val="16"/>
          <w:szCs w:val="16"/>
        </w:rPr>
        <w:br/>
      </w:r>
      <w:r w:rsidR="0076773F" w:rsidRPr="007B0113">
        <w:rPr>
          <w:rFonts w:ascii="Arial" w:hAnsi="Arial" w:cs="Arial"/>
          <w:color w:val="000000"/>
          <w:sz w:val="16"/>
          <w:szCs w:val="16"/>
        </w:rPr>
        <w:t>Uppgifterna ska antec</w:t>
      </w:r>
      <w:r w:rsidR="005F484C" w:rsidRPr="007B0113">
        <w:rPr>
          <w:rFonts w:ascii="Arial" w:hAnsi="Arial" w:cs="Arial"/>
          <w:color w:val="000000"/>
          <w:sz w:val="16"/>
          <w:szCs w:val="16"/>
        </w:rPr>
        <w:t>knas innan transporten påbörjas</w:t>
      </w:r>
    </w:p>
    <w:p w:rsidR="00F91358" w:rsidRDefault="00F91358" w:rsidP="0076773F">
      <w:pPr>
        <w:pStyle w:val="Normalweb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Avfallsproducent: </w:t>
      </w:r>
      <w:r w:rsidRPr="00F91358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Åsas Måleri</w:t>
      </w:r>
      <w:r w:rsidRPr="00A906E6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 xml:space="preserve">  </w:t>
      </w:r>
      <w:r w:rsidR="00A906E6" w:rsidRPr="00A906E6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870923-0088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Referens: </w:t>
      </w:r>
      <w:r w:rsidRPr="00F91358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Åsa Axen</w:t>
      </w:r>
    </w:p>
    <w:tbl>
      <w:tblPr>
        <w:tblStyle w:val="Tabellrutnt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1276"/>
        <w:gridCol w:w="850"/>
        <w:gridCol w:w="1560"/>
        <w:gridCol w:w="1559"/>
        <w:gridCol w:w="1417"/>
        <w:gridCol w:w="2268"/>
        <w:gridCol w:w="1843"/>
      </w:tblGrid>
      <w:tr w:rsidR="00CB5D43" w:rsidRPr="00CB5D43" w:rsidTr="00CB5D43">
        <w:trPr>
          <w:trHeight w:val="791"/>
        </w:trPr>
        <w:tc>
          <w:tcPr>
            <w:tcW w:w="1838" w:type="dxa"/>
          </w:tcPr>
          <w:p w:rsidR="005F484C" w:rsidRPr="00CB5D43" w:rsidRDefault="005F484C" w:rsidP="00CB5D43">
            <w:pPr>
              <w:rPr>
                <w:sz w:val="20"/>
                <w:szCs w:val="20"/>
              </w:rPr>
            </w:pPr>
            <w:proofErr w:type="spellStart"/>
            <w:r w:rsidRPr="00CB5D43">
              <w:rPr>
                <w:sz w:val="20"/>
                <w:szCs w:val="20"/>
              </w:rPr>
              <w:t>Refnr</w:t>
            </w:r>
            <w:proofErr w:type="spellEnd"/>
            <w:r w:rsidR="00CB5D43" w:rsidRPr="00CB5D43">
              <w:rPr>
                <w:sz w:val="20"/>
                <w:szCs w:val="20"/>
              </w:rPr>
              <w:t xml:space="preserve"> .</w:t>
            </w:r>
          </w:p>
          <w:p w:rsidR="00CB5D43" w:rsidRPr="00CB5D43" w:rsidRDefault="00CB5D43" w:rsidP="00CB5D43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och tidpunkt för anteckning</w:t>
            </w:r>
          </w:p>
        </w:tc>
        <w:tc>
          <w:tcPr>
            <w:tcW w:w="141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Var avfallet producerats (adress/plats)</w:t>
            </w: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 xml:space="preserve">Typ av avfall </w:t>
            </w:r>
          </w:p>
        </w:tc>
        <w:tc>
          <w:tcPr>
            <w:tcW w:w="1276" w:type="dxa"/>
          </w:tcPr>
          <w:p w:rsidR="005F484C" w:rsidRPr="00CB5D43" w:rsidRDefault="005F484C" w:rsidP="00A33D5B">
            <w:pPr>
              <w:rPr>
                <w:sz w:val="20"/>
                <w:szCs w:val="20"/>
                <w:vertAlign w:val="superscript"/>
              </w:rPr>
            </w:pPr>
            <w:r w:rsidRPr="00CB5D43">
              <w:rPr>
                <w:sz w:val="20"/>
                <w:szCs w:val="20"/>
              </w:rPr>
              <w:t>Avfallskod</w:t>
            </w:r>
            <w:r w:rsidRPr="00CB5D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Vikt (kg)</w:t>
            </w:r>
          </w:p>
        </w:tc>
        <w:tc>
          <w:tcPr>
            <w:tcW w:w="156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Transport</w:t>
            </w:r>
            <w:r w:rsidRPr="00CB5D43">
              <w:rPr>
                <w:sz w:val="20"/>
                <w:szCs w:val="20"/>
              </w:rPr>
              <w:softHyphen/>
              <w:t>sätt</w:t>
            </w:r>
          </w:p>
        </w:tc>
        <w:tc>
          <w:tcPr>
            <w:tcW w:w="1559" w:type="dxa"/>
          </w:tcPr>
          <w:p w:rsidR="005F484C" w:rsidRPr="00CB5D43" w:rsidRDefault="005F484C" w:rsidP="00A33D5B">
            <w:pPr>
              <w:rPr>
                <w:sz w:val="20"/>
                <w:szCs w:val="20"/>
                <w:vertAlign w:val="superscript"/>
              </w:rPr>
            </w:pPr>
            <w:r w:rsidRPr="00CB5D43">
              <w:rPr>
                <w:sz w:val="20"/>
                <w:szCs w:val="20"/>
              </w:rPr>
              <w:t>Transportör</w:t>
            </w:r>
            <w:r w:rsidRPr="00CB5D43">
              <w:rPr>
                <w:sz w:val="20"/>
                <w:szCs w:val="20"/>
                <w:vertAlign w:val="superscript"/>
              </w:rPr>
              <w:t>2</w:t>
            </w:r>
          </w:p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(Namn och org.nr)</w:t>
            </w:r>
          </w:p>
        </w:tc>
        <w:tc>
          <w:tcPr>
            <w:tcW w:w="1417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Datum för borttrans</w:t>
            </w:r>
            <w:r w:rsidRPr="00CB5D43">
              <w:rPr>
                <w:sz w:val="20"/>
                <w:szCs w:val="20"/>
              </w:rPr>
              <w:softHyphen/>
              <w:t>port</w:t>
            </w:r>
          </w:p>
        </w:tc>
        <w:tc>
          <w:tcPr>
            <w:tcW w:w="2268" w:type="dxa"/>
          </w:tcPr>
          <w:p w:rsidR="005F484C" w:rsidRPr="00CB5D43" w:rsidRDefault="005F484C" w:rsidP="007B0113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Mottagare (Namn</w:t>
            </w:r>
            <w:r w:rsidR="007B0113" w:rsidRPr="00CB5D43">
              <w:rPr>
                <w:sz w:val="20"/>
                <w:szCs w:val="20"/>
              </w:rPr>
              <w:t>,</w:t>
            </w:r>
            <w:r w:rsidRPr="00CB5D43">
              <w:rPr>
                <w:sz w:val="20"/>
                <w:szCs w:val="20"/>
              </w:rPr>
              <w:t xml:space="preserve"> org.nr</w:t>
            </w:r>
            <w:r w:rsidR="007B0113" w:rsidRPr="00CB5D43">
              <w:rPr>
                <w:sz w:val="20"/>
                <w:szCs w:val="20"/>
              </w:rPr>
              <w:t xml:space="preserve"> och adress/plats</w:t>
            </w:r>
            <w:r w:rsidRPr="00CB5D4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Digital registrering utförd</w:t>
            </w:r>
            <w:r w:rsidRPr="00CB5D43">
              <w:rPr>
                <w:sz w:val="20"/>
                <w:szCs w:val="20"/>
                <w:vertAlign w:val="superscript"/>
              </w:rPr>
              <w:t>3</w:t>
            </w:r>
          </w:p>
          <w:p w:rsidR="005F484C" w:rsidRPr="00CB5D43" w:rsidRDefault="005F484C" w:rsidP="00A33D5B">
            <w:pPr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(datum)</w:t>
            </w:r>
          </w:p>
        </w:tc>
      </w:tr>
      <w:tr w:rsidR="00CB5D43" w:rsidRPr="00CB5D43" w:rsidTr="00CB5D43">
        <w:trPr>
          <w:trHeight w:val="806"/>
        </w:trPr>
        <w:tc>
          <w:tcPr>
            <w:tcW w:w="1838" w:type="dxa"/>
          </w:tcPr>
          <w:p w:rsidR="00CB5D43" w:rsidRPr="00CB5D43" w:rsidRDefault="00CB5D43" w:rsidP="00CB5D43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1</w:t>
            </w:r>
          </w:p>
          <w:p w:rsidR="00CB5D43" w:rsidRPr="00CB5D43" w:rsidRDefault="00CB5D43" w:rsidP="00CB5D43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2020</w:t>
            </w:r>
            <w:r w:rsidR="00D40B9A">
              <w:rPr>
                <w:sz w:val="20"/>
                <w:szCs w:val="20"/>
              </w:rPr>
              <w:t>-</w:t>
            </w:r>
            <w:r w:rsidRPr="00CB5D43">
              <w:rPr>
                <w:sz w:val="20"/>
                <w:szCs w:val="20"/>
              </w:rPr>
              <w:t>01</w:t>
            </w:r>
            <w:r w:rsidR="00D40B9A">
              <w:rPr>
                <w:sz w:val="20"/>
                <w:szCs w:val="20"/>
              </w:rPr>
              <w:t>-</w:t>
            </w:r>
            <w:r w:rsidRPr="00CB5D43">
              <w:rPr>
                <w:sz w:val="20"/>
                <w:szCs w:val="20"/>
              </w:rPr>
              <w:t>14 15</w:t>
            </w:r>
            <w:r w:rsidR="00D40B9A">
              <w:rPr>
                <w:sz w:val="20"/>
                <w:szCs w:val="20"/>
              </w:rPr>
              <w:t>:</w:t>
            </w:r>
            <w:r w:rsidRPr="00CB5D43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F91358" w:rsidRPr="00CB5D43" w:rsidRDefault="00F91358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Vetevägen 3,</w:t>
            </w:r>
          </w:p>
          <w:p w:rsidR="005F484C" w:rsidRPr="00CB5D43" w:rsidRDefault="00D40B9A" w:rsidP="00A33D5B">
            <w:pPr>
              <w:pStyle w:val="Rubri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46 Visby</w:t>
            </w:r>
          </w:p>
        </w:tc>
        <w:tc>
          <w:tcPr>
            <w:tcW w:w="850" w:type="dxa"/>
          </w:tcPr>
          <w:p w:rsidR="005F484C" w:rsidRPr="00CB5D43" w:rsidRDefault="005F484C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Lysrör</w:t>
            </w:r>
          </w:p>
        </w:tc>
        <w:tc>
          <w:tcPr>
            <w:tcW w:w="1276" w:type="dxa"/>
          </w:tcPr>
          <w:p w:rsidR="005F484C" w:rsidRPr="00CB5D43" w:rsidRDefault="005F484C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20 01 21* </w:t>
            </w:r>
          </w:p>
        </w:tc>
        <w:tc>
          <w:tcPr>
            <w:tcW w:w="850" w:type="dxa"/>
          </w:tcPr>
          <w:p w:rsidR="005F484C" w:rsidRPr="00CB5D43" w:rsidRDefault="005F484C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5F484C" w:rsidRPr="00CB5D43" w:rsidRDefault="005F484C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 xml:space="preserve">Vägtransport </w:t>
            </w:r>
          </w:p>
        </w:tc>
        <w:tc>
          <w:tcPr>
            <w:tcW w:w="1559" w:type="dxa"/>
          </w:tcPr>
          <w:p w:rsidR="005F484C" w:rsidRPr="00CB5D43" w:rsidRDefault="005F484C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Åkaren AB 556789-4567</w:t>
            </w:r>
          </w:p>
        </w:tc>
        <w:tc>
          <w:tcPr>
            <w:tcW w:w="1417" w:type="dxa"/>
          </w:tcPr>
          <w:p w:rsidR="005F484C" w:rsidRPr="00CB5D43" w:rsidRDefault="00CB5D43" w:rsidP="00A33D5B">
            <w:pPr>
              <w:pStyle w:val="Rubri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0B9A">
              <w:rPr>
                <w:sz w:val="20"/>
                <w:szCs w:val="20"/>
              </w:rPr>
              <w:t>20-01-14</w:t>
            </w:r>
          </w:p>
        </w:tc>
        <w:tc>
          <w:tcPr>
            <w:tcW w:w="2268" w:type="dxa"/>
          </w:tcPr>
          <w:p w:rsidR="005F484C" w:rsidRPr="00CB5D43" w:rsidRDefault="005F484C" w:rsidP="00A33D5B">
            <w:pPr>
              <w:pStyle w:val="Rubrik2"/>
              <w:outlineLvl w:val="1"/>
              <w:rPr>
                <w:sz w:val="20"/>
                <w:szCs w:val="20"/>
              </w:rPr>
            </w:pPr>
            <w:r w:rsidRPr="00CB5D43">
              <w:rPr>
                <w:sz w:val="20"/>
                <w:szCs w:val="20"/>
              </w:rPr>
              <w:t>Returen AB 565656-5656</w:t>
            </w:r>
          </w:p>
          <w:p w:rsidR="007B0113" w:rsidRPr="00CB5D43" w:rsidRDefault="008C1233" w:rsidP="007B0113">
            <w:p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Bo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gatan 22, 621 46 Visby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D40B9A" w:rsidP="00A33D5B">
            <w:pPr>
              <w:pStyle w:val="Rubri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2020-01-16</w:t>
            </w:r>
          </w:p>
        </w:tc>
      </w:tr>
      <w:tr w:rsidR="00CB5D43" w:rsidRPr="00CB5D43" w:rsidTr="00CB5D43">
        <w:trPr>
          <w:trHeight w:val="259"/>
        </w:trPr>
        <w:tc>
          <w:tcPr>
            <w:tcW w:w="183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</w:tr>
      <w:tr w:rsidR="00CB5D43" w:rsidRPr="00CB5D43" w:rsidTr="00CB5D43">
        <w:trPr>
          <w:trHeight w:val="259"/>
        </w:trPr>
        <w:tc>
          <w:tcPr>
            <w:tcW w:w="183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</w:tr>
      <w:tr w:rsidR="00CB5D43" w:rsidRPr="00CB5D43" w:rsidTr="00CB5D43">
        <w:trPr>
          <w:trHeight w:val="271"/>
        </w:trPr>
        <w:tc>
          <w:tcPr>
            <w:tcW w:w="183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</w:tr>
      <w:tr w:rsidR="00CB5D43" w:rsidRPr="00CB5D43" w:rsidTr="00CB5D43">
        <w:trPr>
          <w:trHeight w:val="259"/>
        </w:trPr>
        <w:tc>
          <w:tcPr>
            <w:tcW w:w="183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</w:tr>
      <w:tr w:rsidR="00CB5D43" w:rsidRPr="00CB5D43" w:rsidTr="00CB5D43">
        <w:trPr>
          <w:trHeight w:val="259"/>
        </w:trPr>
        <w:tc>
          <w:tcPr>
            <w:tcW w:w="183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5F484C" w:rsidRPr="00CB5D43" w:rsidRDefault="005F484C" w:rsidP="00A33D5B">
            <w:pPr>
              <w:rPr>
                <w:sz w:val="20"/>
                <w:szCs w:val="20"/>
              </w:rPr>
            </w:pPr>
          </w:p>
        </w:tc>
      </w:tr>
    </w:tbl>
    <w:p w:rsidR="00A73379" w:rsidRPr="00A67DE3" w:rsidRDefault="00A73379" w:rsidP="00A73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A67DE3">
        <w:rPr>
          <w:rFonts w:ascii="Arial" w:hAnsi="Arial" w:cs="Arial"/>
          <w:color w:val="000000"/>
          <w:sz w:val="20"/>
          <w:szCs w:val="20"/>
        </w:rPr>
        <w:t>För avfallkoder</w:t>
      </w:r>
      <w:r>
        <w:rPr>
          <w:rFonts w:ascii="Arial" w:hAnsi="Arial" w:cs="Arial"/>
          <w:color w:val="000000"/>
          <w:sz w:val="20"/>
          <w:szCs w:val="20"/>
        </w:rPr>
        <w:t xml:space="preserve"> se bilaga 3 i Avfallsförordningen (2020:614).</w:t>
      </w:r>
    </w:p>
    <w:p w:rsidR="00A73379" w:rsidRPr="00A73379" w:rsidRDefault="0076773F" w:rsidP="00A7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</w:pPr>
      <w:r>
        <w:rPr>
          <w:rFonts w:ascii="Arial" w:hAnsi="Arial" w:cs="Arial"/>
          <w:color w:val="000000"/>
          <w:sz w:val="20"/>
          <w:szCs w:val="20"/>
        </w:rPr>
        <w:t>Sker transport av avfallet i egen regi ska en anmälan göras till länsstyrelsen</w:t>
      </w:r>
      <w:r w:rsidR="00A67D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om </w:t>
      </w:r>
      <w:r w:rsidRPr="0076773F">
        <w:rPr>
          <w:rFonts w:ascii="Arial" w:hAnsi="Arial" w:cs="Arial"/>
          <w:color w:val="000000"/>
          <w:sz w:val="20"/>
          <w:szCs w:val="20"/>
        </w:rPr>
        <w:t>mängden är mindre än 100 kilo eller 100 liter per år</w:t>
      </w:r>
      <w:r>
        <w:rPr>
          <w:rFonts w:ascii="Arial" w:hAnsi="Arial" w:cs="Arial"/>
          <w:color w:val="000000"/>
          <w:sz w:val="20"/>
          <w:szCs w:val="20"/>
        </w:rPr>
        <w:t xml:space="preserve">. Vid större volymer ska tillstånd hos länsstyrelsen sökas. </w:t>
      </w:r>
      <w:r w:rsidRPr="00A73379">
        <w:rPr>
          <w:rFonts w:ascii="Arial" w:hAnsi="Arial" w:cs="Arial"/>
          <w:color w:val="000000"/>
          <w:sz w:val="20"/>
          <w:szCs w:val="20"/>
        </w:rPr>
        <w:t>Transportdokument ska alltid upprättas vid yrkesmäs</w:t>
      </w:r>
      <w:r w:rsidR="00A73379" w:rsidRPr="00A73379">
        <w:rPr>
          <w:rFonts w:ascii="Arial" w:hAnsi="Arial" w:cs="Arial"/>
          <w:color w:val="000000"/>
          <w:sz w:val="20"/>
          <w:szCs w:val="20"/>
        </w:rPr>
        <w:t>sig transport av farligt avfall.</w:t>
      </w:r>
    </w:p>
    <w:p w:rsidR="00762276" w:rsidRPr="00762276" w:rsidRDefault="00A73379" w:rsidP="00A33D5B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Senast 2 dagar efter att avfallet transporterats bort ska </w:t>
      </w:r>
      <w:r w:rsidR="00A03956">
        <w:rPr>
          <w:rFonts w:ascii="Arial" w:hAnsi="Arial" w:cs="Arial"/>
          <w:color w:val="000000"/>
          <w:sz w:val="20"/>
          <w:szCs w:val="20"/>
        </w:rPr>
        <w:t>anteckningar om avfallet</w:t>
      </w:r>
      <w:r>
        <w:rPr>
          <w:rFonts w:ascii="Arial" w:hAnsi="Arial" w:cs="Arial"/>
          <w:color w:val="000000"/>
          <w:sz w:val="20"/>
          <w:szCs w:val="20"/>
        </w:rPr>
        <w:t xml:space="preserve"> registreras i Naturvårdsverkets digitala register: </w:t>
      </w:r>
      <w:r w:rsidRPr="00A67DE3">
        <w:rPr>
          <w:rFonts w:ascii="Arial" w:hAnsi="Arial" w:cs="Arial"/>
          <w:b/>
          <w:color w:val="ED7D31" w:themeColor="accent2"/>
          <w:sz w:val="20"/>
          <w:szCs w:val="20"/>
        </w:rPr>
        <w:t>naturvardsverket.se/avfallsregister</w:t>
      </w:r>
    </w:p>
    <w:sectPr w:rsidR="00762276" w:rsidRPr="00762276" w:rsidSect="007B011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2B28"/>
    <w:multiLevelType w:val="multilevel"/>
    <w:tmpl w:val="2F0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3F"/>
    <w:rsid w:val="000C13D3"/>
    <w:rsid w:val="00121513"/>
    <w:rsid w:val="001A3650"/>
    <w:rsid w:val="00236543"/>
    <w:rsid w:val="00247D8D"/>
    <w:rsid w:val="004850F9"/>
    <w:rsid w:val="005B3EC5"/>
    <w:rsid w:val="005F484C"/>
    <w:rsid w:val="00762276"/>
    <w:rsid w:val="0076773F"/>
    <w:rsid w:val="007A6B17"/>
    <w:rsid w:val="007B0113"/>
    <w:rsid w:val="008A27C5"/>
    <w:rsid w:val="008C1233"/>
    <w:rsid w:val="00946DB9"/>
    <w:rsid w:val="00962988"/>
    <w:rsid w:val="00A03956"/>
    <w:rsid w:val="00A33D5B"/>
    <w:rsid w:val="00A67DE3"/>
    <w:rsid w:val="00A73379"/>
    <w:rsid w:val="00A906E6"/>
    <w:rsid w:val="00A90DBA"/>
    <w:rsid w:val="00AB7EB2"/>
    <w:rsid w:val="00B31845"/>
    <w:rsid w:val="00C71F04"/>
    <w:rsid w:val="00CB5D43"/>
    <w:rsid w:val="00D13932"/>
    <w:rsid w:val="00D40B9A"/>
    <w:rsid w:val="00DF7302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1D13"/>
  <w15:chartTrackingRefBased/>
  <w15:docId w15:val="{D3501DDE-4F6C-4F23-B5AB-A0E5203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7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7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6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6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67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EC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3E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3E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3E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3E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3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Larsson</dc:creator>
  <cp:keywords/>
  <dc:description/>
  <cp:lastModifiedBy>Amelie Larsson</cp:lastModifiedBy>
  <cp:revision>3</cp:revision>
  <dcterms:created xsi:type="dcterms:W3CDTF">2020-11-25T08:19:00Z</dcterms:created>
  <dcterms:modified xsi:type="dcterms:W3CDTF">2020-11-25T08:20:00Z</dcterms:modified>
</cp:coreProperties>
</file>